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III 116</w:t>
      </w:r>
    </w:p>
    <w:p>
      <w:r>
        <w:t>Bundesgericht (BGE), 1967-11-23, FR</w:t>
      </w:r>
    </w:p>
    <w:p>
      <w:r>
        <w:rPr>
          <w:b/>
        </w:rPr>
        <w:t xml:space="preserve">Quelle: </w:t>
      </w:r>
      <w:r>
        <w:t>https://mcp.opencaselaw.ch/entscheid/bge_93 III 116</w:t>
      </w:r>
    </w:p>
    <w:p>
      <w:r>
        <w:t>FR: ATF 93 III 116</w:t>
      </w:r>
    </w:p>
    <w:p>
      <w:r>
        <w:t>IT: DTF 93 III 116</w:t>
      </w:r>
    </w:p>
    <w:p>
      <w:pPr>
        <w:pStyle w:val="Heading2"/>
      </w:pPr>
      <w:r>
        <w:t>Regeste</w:t>
      </w:r>
    </w:p>
    <w:p>
      <w:r>
        <w:t>Regeste Verwertung eines Anteils am Vermögen einer Gesellschaft (Art. 132 SchKG, Art. 10 ff. VVAG). Bezeichnung durch die untere Aufsichtsbehörde eines gemeinsamen Vertreters der Gläubiger zum Zwecke, bei der zuständigen französischen Behörde die Liquidation einer vom Schuldner und einem Dritten in Frankreich als einfache Gesellschaft errichteten Immobiliengesellschaft zu beantragen.</w:t>
      </w:r>
    </w:p>
    <w:p>
      <w:pPr>
        <w:pStyle w:val="Heading2"/>
      </w:pPr>
      <w:r>
        <w:t>Erwägungen</w:t>
      </w:r>
    </w:p>
    <w:p>
      <w:r>
        <w:rPr>
          <w:b/>
        </w:rPr>
        <w:t>E. 1</w:t>
      </w:r>
    </w:p>
    <w:p>
      <w:r>
        <w:t>Selon l'art. 132 al. 1 LP, l'autorité de surveillance fixe, à la demande du préposé aux poursuites, le mode de réalisation d'une part dans une société. Elle doit prendre en considération les opinions exprimées par les intéressés (cf. RO 87 III 108, consid. 2) et peut ordonner la vente aux enchères, confier la réalisation à un gérant ou prendre toute autre mesure (art. 132 al. 3 LP). Assurément, la liberté d'appréciation que cette disposition légale laisse aux autorités cantonales de surveillance a été quelque peu restreinte par l'ordonnance du Tribunal fédéral du 17 janvier 1923 concernant la saisie et la réalisation des parts de communauté. Mais cette ordonnance se borne à préciser la procédure à suivre, dans l'intérêt des parties et des tiers (cf. P. SCHWARTZ, Das Ermessen der Betreibungsbehörden, BlSchK 1965 p. 161 ss., notamment 173 s., ch. 3). La vente de gré à gré n'est admissible qu'avec l'accord du débiteur (RO 74 III 83). En règle générale, la vente aux enchères ne doit être ordonnée que si la valeur de la part saisie peut être déterminée approximativement (art. 10 al. 3 OPC). Si l'autorité de surveillance ordonne la dissolution et la liquidation de la communauté, elle a la faculté de désigner un administrateur qui prendra les mesures juridiques nécessaires pour procéder à la dissolution et à la liquidation; il exercera à cet effet tous les droits appartenant au débiteur (art. 12 OPC). A défaut d'administrateur, l'office se chargera lui-même de ces démarches (ibid.). 2. - En l'espèce, le mode de réalisation fixé par l'autorité inférieure de surveillance n'est pas critiqué. Le recourant s'en prend uniquement à la désignation d'un administrateur qui est le mandataire d'une partie des créanciers saisissants. Toutefois, les questions d'opportunité ne peuvent pas être déférées au Tribunal fédéral, à moins que l'autorité cantonale ait abusé de son pouvoir appréciateur; cet abus est assimilé à une violation de la loi, qui ouvre le recours prévu à l'art. 19 al. 1 LP (RO 91 III 57 no 11, consid. 4 in fine; cf. SIMOND, FJS 628, p. 2 ss.). L'autorité cantonale de surveillance est libre de charger un ou plusieurs créanciers, soit leur mandataire, d'accomplir les démarches juridiques nécessaires pour introduire une action en partage des biens d'une société (JAEGER, n. 4 ad art. 132 LP; BGE 93 III 116 S. 120 BLUMENSTEIN, Handbuch des schweizerischen Schuldbetreibungsrechtes, p. 448). Une pareille mission n'est pas comparable à l'activité d'un fonctionnaire ou employé de l'office qui doit se récuser lorsqu'il s'agit des intérêts d'une personne dont il est le mandataire (art. 10 al. 1 ch. 3 LP). Elle n'autorise pas celui qui en est chargé à procéder lui-même à la liquidation de la société, mais lui confère seulement le pouvoir de requérir l'autorité compétente d'ordonner cette liquidation et d'en recevoir le produit pour le compte de l'office, qui fera la répartition entre les créanciers au bénéfice de la saisie. Les juridictions vaudoises ne se sont pas écartées de ces principes. La décision attaquée ne viole dès lors aucune prescription du droit fédéral. Elle n'est pas non plus viciée par un abus du pouvoir appréciateur reconnu aux autorités cantonales de surveillance. Du reste, le recourant aura la faculté de présenter ses moyens et de sauvegarder ses intérêts devant l'autorité française compétente qui ordonnera, à la requête du représentant commun des créanciers saisissants, la liquidation, précédée le cas échéant de la dissolution, de la société civile immobilière "BONO". Dispositiv Par ces motifs, la Chambre des poursuites et des faillites: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